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2E" w:rsidRPr="0023292E" w:rsidRDefault="0023292E" w:rsidP="0023292E">
      <w:pPr>
        <w:spacing w:before="2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3292E">
        <w:rPr>
          <w:rFonts w:ascii="Times New Roman" w:hAnsi="Times New Roman" w:cs="Times New Roman"/>
          <w:b/>
          <w:i/>
          <w:sz w:val="36"/>
          <w:szCs w:val="36"/>
        </w:rPr>
        <w:t>Расчет электрической цепи корректирующего звена</w:t>
      </w:r>
    </w:p>
    <w:p w:rsidR="0023292E" w:rsidRPr="0023292E" w:rsidRDefault="0023292E" w:rsidP="0023292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3292E">
        <w:rPr>
          <w:rFonts w:ascii="Times New Roman" w:hAnsi="Times New Roman" w:cs="Times New Roman"/>
          <w:sz w:val="28"/>
          <w:szCs w:val="28"/>
        </w:rPr>
        <w:t>Реализовать необходимые для коррекции звенья можно на пассивных и на активных элементах. Схемы на пассивных элементах не удовлетворяют требованиям точности. Поэтому реализовывать корректирующие звенья будем на операционных усилителях по следующей схеме:</w:t>
      </w:r>
    </w:p>
    <w:p w:rsidR="0023292E" w:rsidRPr="0023292E" w:rsidRDefault="0023292E" w:rsidP="0023292E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4874" cy="2663438"/>
            <wp:effectExtent l="19050" t="0" r="2876" b="0"/>
            <wp:docPr id="29" name="Рисунок 29" descr="C:\Documents and Settings\Admin\Рабочий стол\эл.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Admin\Рабочий стол\эл.схем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342" cy="2664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92E" w:rsidRPr="0023292E" w:rsidRDefault="0023292E" w:rsidP="0023292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3292E">
        <w:rPr>
          <w:rFonts w:ascii="Times New Roman" w:hAnsi="Times New Roman" w:cs="Times New Roman"/>
          <w:sz w:val="28"/>
          <w:szCs w:val="28"/>
        </w:rPr>
        <w:t>Данная схема представлена на принципиальной электрической схеме в блоках А12 и А13.</w:t>
      </w:r>
    </w:p>
    <w:p w:rsidR="0023292E" w:rsidRPr="0023292E" w:rsidRDefault="0023292E" w:rsidP="0023292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3292E">
        <w:rPr>
          <w:rFonts w:ascii="Times New Roman" w:hAnsi="Times New Roman" w:cs="Times New Roman"/>
          <w:sz w:val="28"/>
          <w:szCs w:val="28"/>
        </w:rPr>
        <w:t>Рассчитаем номинальные значения элементов.</w:t>
      </w:r>
    </w:p>
    <w:p w:rsidR="0023292E" w:rsidRPr="0023292E" w:rsidRDefault="0023292E" w:rsidP="0023292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3292E">
        <w:rPr>
          <w:rFonts w:ascii="Times New Roman" w:hAnsi="Times New Roman" w:cs="Times New Roman"/>
          <w:sz w:val="28"/>
          <w:szCs w:val="28"/>
        </w:rPr>
        <w:t>Для схемы справедливы следующие соотношения:</w:t>
      </w:r>
    </w:p>
    <w:p w:rsidR="00993401" w:rsidRDefault="00993401" w:rsidP="0023292E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993401">
        <w:rPr>
          <w:rFonts w:ascii="Times New Roman" w:hAnsi="Times New Roman" w:cs="Times New Roman"/>
          <w:position w:val="-30"/>
          <w:sz w:val="28"/>
          <w:szCs w:val="28"/>
        </w:rPr>
        <w:object w:dxaOrig="61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90.55pt;height:42.8pt" o:ole="">
            <v:imagedata r:id="rId7" o:title=""/>
          </v:shape>
          <o:OLEObject Type="Embed" ProgID="Equation.3" ShapeID="_x0000_i1029" DrawAspect="Content" ObjectID="_1306830161" r:id="rId8"/>
        </w:object>
      </w:r>
    </w:p>
    <w:p w:rsidR="0023292E" w:rsidRPr="0023292E" w:rsidRDefault="0023292E" w:rsidP="0023292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3292E">
        <w:rPr>
          <w:rFonts w:ascii="Times New Roman" w:hAnsi="Times New Roman" w:cs="Times New Roman"/>
          <w:sz w:val="28"/>
          <w:szCs w:val="28"/>
        </w:rPr>
        <w:t>Приведем передаточную функцию к виду:</w:t>
      </w:r>
      <w:r w:rsidR="00BB2986" w:rsidRPr="00BB2986"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r w:rsidR="00BB2986" w:rsidRPr="0023292E">
        <w:rPr>
          <w:rFonts w:ascii="Times New Roman" w:hAnsi="Times New Roman" w:cs="Times New Roman"/>
          <w:position w:val="-30"/>
          <w:sz w:val="28"/>
          <w:szCs w:val="28"/>
        </w:rPr>
        <w:object w:dxaOrig="3180" w:dyaOrig="680">
          <v:shape id="_x0000_i1031" type="#_x0000_t75" style="width:232.3pt;height:50.25pt" o:ole="">
            <v:imagedata r:id="rId9" o:title=""/>
          </v:shape>
          <o:OLEObject Type="Embed" ProgID="Equation.3" ShapeID="_x0000_i1031" DrawAspect="Content" ObjectID="_1306830162" r:id="rId10"/>
        </w:object>
      </w:r>
    </w:p>
    <w:p w:rsidR="0023292E" w:rsidRPr="00993401" w:rsidRDefault="00BB2986" w:rsidP="0023292E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23292E">
        <w:rPr>
          <w:rFonts w:ascii="Times New Roman" w:hAnsi="Times New Roman" w:cs="Times New Roman"/>
          <w:sz w:val="28"/>
          <w:szCs w:val="28"/>
        </w:rPr>
        <w:object w:dxaOrig="4200" w:dyaOrig="1320">
          <v:shape id="_x0000_i1030" type="#_x0000_t75" style="width:225.5pt;height:91pt" o:ole="" o:allowoverlap="f">
            <v:imagedata r:id="rId11" o:title=""/>
          </v:shape>
          <o:OLEObject Type="Embed" ProgID="Equation.DSMT4" ShapeID="_x0000_i1030" DrawAspect="Content" ObjectID="_1306830163" r:id="rId12"/>
        </w:object>
      </w:r>
    </w:p>
    <w:p w:rsidR="0023292E" w:rsidRPr="0023292E" w:rsidRDefault="0023292E" w:rsidP="0023292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3292E">
        <w:rPr>
          <w:rFonts w:ascii="Times New Roman" w:hAnsi="Times New Roman" w:cs="Times New Roman"/>
          <w:sz w:val="28"/>
          <w:szCs w:val="28"/>
        </w:rPr>
        <w:lastRenderedPageBreak/>
        <w:t>Выразим постоянные времени и коэффициент усиления через параметры схемы:</w:t>
      </w:r>
    </w:p>
    <w:p w:rsidR="0023292E" w:rsidRPr="00993401" w:rsidRDefault="0023292E" w:rsidP="0023292E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 w:rsidRPr="0023292E">
        <w:rPr>
          <w:rFonts w:ascii="Times New Roman" w:hAnsi="Times New Roman" w:cs="Times New Roman"/>
          <w:position w:val="-30"/>
          <w:sz w:val="28"/>
          <w:szCs w:val="28"/>
        </w:rPr>
        <w:object w:dxaOrig="2180" w:dyaOrig="680">
          <v:shape id="_x0000_i1026" type="#_x0000_t75" style="width:145.35pt;height:45.5pt" o:ole="">
            <v:imagedata r:id="rId13" o:title=""/>
          </v:shape>
          <o:OLEObject Type="Embed" ProgID="Equation.3" ShapeID="_x0000_i1026" DrawAspect="Content" ObjectID="_1306830164" r:id="rId14"/>
        </w:object>
      </w:r>
      <w:r>
        <w:rPr>
          <w:rFonts w:ascii="Times New Roman" w:hAnsi="Times New Roman" w:cs="Times New Roman"/>
          <w:position w:val="-30"/>
          <w:sz w:val="28"/>
          <w:szCs w:val="28"/>
          <w:lang w:val="en-US"/>
        </w:rPr>
        <w:t xml:space="preserve">              </w:t>
      </w:r>
      <w:r w:rsidRPr="0023292E">
        <w:rPr>
          <w:rFonts w:ascii="Times New Roman" w:hAnsi="Times New Roman" w:cs="Times New Roman"/>
          <w:sz w:val="28"/>
          <w:szCs w:val="28"/>
        </w:rPr>
        <w:object w:dxaOrig="1040" w:dyaOrig="340">
          <v:shape id="_x0000_i1027" type="#_x0000_t75" style="width:1in;height:23.75pt" o:ole="">
            <v:imagedata r:id="rId15" o:title=""/>
          </v:shape>
          <o:OLEObject Type="Embed" ProgID="Equation.3" ShapeID="_x0000_i1027" DrawAspect="Content" ObjectID="_1306830165" r:id="rId16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23292E">
        <w:rPr>
          <w:rFonts w:ascii="Times New Roman" w:hAnsi="Times New Roman" w:cs="Times New Roman"/>
          <w:sz w:val="28"/>
          <w:szCs w:val="28"/>
        </w:rPr>
        <w:object w:dxaOrig="1660" w:dyaOrig="700">
          <v:shape id="_x0000_i1028" type="#_x0000_t75" style="width:108pt;height:46.2pt" o:ole="">
            <v:imagedata r:id="rId17" o:title=""/>
          </v:shape>
          <o:OLEObject Type="Embed" ProgID="Equation.3" ShapeID="_x0000_i1028" DrawAspect="Content" ObjectID="_1306830166" r:id="rId18"/>
        </w:object>
      </w:r>
    </w:p>
    <w:p w:rsidR="0023292E" w:rsidRPr="0023292E" w:rsidRDefault="0023292E" w:rsidP="0023292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3292E">
        <w:rPr>
          <w:rFonts w:ascii="Times New Roman" w:hAnsi="Times New Roman" w:cs="Times New Roman"/>
          <w:position w:val="-30"/>
          <w:sz w:val="28"/>
          <w:szCs w:val="28"/>
        </w:rPr>
        <w:object w:dxaOrig="1260" w:dyaOrig="680">
          <v:shape id="_x0000_i1025" type="#_x0000_t75" style="width:82.2pt;height:45.5pt" o:ole="">
            <v:imagedata r:id="rId19" o:title=""/>
          </v:shape>
          <o:OLEObject Type="Embed" ProgID="Equation.3" ShapeID="_x0000_i1025" DrawAspect="Content" ObjectID="_1306830167" r:id="rId20"/>
        </w:object>
      </w:r>
    </w:p>
    <w:p w:rsidR="0023292E" w:rsidRPr="0023292E" w:rsidRDefault="0023292E" w:rsidP="0023292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3292E">
        <w:rPr>
          <w:rFonts w:ascii="Times New Roman" w:hAnsi="Times New Roman" w:cs="Times New Roman"/>
          <w:sz w:val="28"/>
          <w:szCs w:val="28"/>
        </w:rPr>
        <w:t xml:space="preserve">Данная система допускает бесчисленное число возможных комбинаций решений, т.к. для определения семи неизвестных используются только три линейно независимых уравнения. Поэтому зададимся значением емкости </w:t>
      </w:r>
      <w:r w:rsidRPr="002329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3292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3292E">
        <w:rPr>
          <w:rFonts w:ascii="Times New Roman" w:hAnsi="Times New Roman" w:cs="Times New Roman"/>
          <w:sz w:val="28"/>
          <w:szCs w:val="28"/>
        </w:rPr>
        <w:t xml:space="preserve">, а также примем равенство сопротивлений </w:t>
      </w:r>
      <w:r w:rsidRPr="002329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329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3292E">
        <w:rPr>
          <w:rFonts w:ascii="Times New Roman" w:hAnsi="Times New Roman" w:cs="Times New Roman"/>
          <w:sz w:val="28"/>
          <w:szCs w:val="28"/>
        </w:rPr>
        <w:t>=</w:t>
      </w:r>
      <w:r w:rsidRPr="002329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3292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3292E">
        <w:rPr>
          <w:rFonts w:ascii="Times New Roman" w:hAnsi="Times New Roman" w:cs="Times New Roman"/>
          <w:sz w:val="28"/>
          <w:szCs w:val="28"/>
        </w:rPr>
        <w:t>=</w:t>
      </w:r>
      <w:r w:rsidRPr="002329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3292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3292E">
        <w:rPr>
          <w:rFonts w:ascii="Times New Roman" w:hAnsi="Times New Roman" w:cs="Times New Roman"/>
          <w:sz w:val="28"/>
          <w:szCs w:val="28"/>
        </w:rPr>
        <w:t>=</w:t>
      </w:r>
      <w:r w:rsidRPr="002329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3292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23292E">
        <w:rPr>
          <w:rFonts w:ascii="Times New Roman" w:hAnsi="Times New Roman" w:cs="Times New Roman"/>
          <w:sz w:val="28"/>
          <w:szCs w:val="28"/>
        </w:rPr>
        <w:t>=</w:t>
      </w:r>
      <w:r w:rsidRPr="002329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3292E">
        <w:rPr>
          <w:rFonts w:ascii="Times New Roman" w:hAnsi="Times New Roman" w:cs="Times New Roman"/>
          <w:sz w:val="28"/>
          <w:szCs w:val="28"/>
        </w:rPr>
        <w:t>. Тогда выражения для вычисления номинальных значений элементов примут следующий вид:</w:t>
      </w:r>
    </w:p>
    <w:p w:rsidR="0023292E" w:rsidRPr="00993401" w:rsidRDefault="0023292E" w:rsidP="0023292E">
      <w:pPr>
        <w:spacing w:before="240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           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Times New Roman" w:hAnsi="Times New Roman" w:cs="Times New Roman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R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</m:oMath>
      </m:oMathPara>
    </w:p>
    <w:p w:rsidR="0023292E" w:rsidRPr="0023292E" w:rsidRDefault="0023292E" w:rsidP="0023292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3292E">
        <w:rPr>
          <w:rFonts w:ascii="Times New Roman" w:hAnsi="Times New Roman" w:cs="Times New Roman"/>
          <w:sz w:val="28"/>
          <w:szCs w:val="28"/>
        </w:rPr>
        <w:t>Коэффициент усиления корректирующего звена при этом К=1.</w:t>
      </w:r>
    </w:p>
    <w:p w:rsidR="00000000" w:rsidRDefault="00993401">
      <w:pPr>
        <w:rPr>
          <w:rFonts w:ascii="Times New Roman" w:hAnsi="Times New Roman" w:cs="Times New Roman"/>
          <w:sz w:val="28"/>
          <w:szCs w:val="28"/>
        </w:rPr>
      </w:pPr>
      <w:r w:rsidRPr="00993401">
        <w:rPr>
          <w:rFonts w:ascii="Times New Roman" w:hAnsi="Times New Roman" w:cs="Times New Roman"/>
          <w:sz w:val="28"/>
          <w:szCs w:val="28"/>
        </w:rPr>
        <w:t xml:space="preserve">Решая </w:t>
      </w:r>
      <w:r>
        <w:rPr>
          <w:rFonts w:ascii="Times New Roman" w:hAnsi="Times New Roman" w:cs="Times New Roman"/>
          <w:sz w:val="28"/>
          <w:szCs w:val="28"/>
        </w:rPr>
        <w:t>эти уравнения, получим номинальные значения элементов:</w:t>
      </w:r>
    </w:p>
    <w:p w:rsidR="00BB2986" w:rsidRDefault="00BB298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599" w:type="dxa"/>
        <w:tblLook w:val="04A0"/>
      </w:tblPr>
      <w:tblGrid>
        <w:gridCol w:w="4799"/>
        <w:gridCol w:w="4800"/>
      </w:tblGrid>
      <w:tr w:rsidR="00993401" w:rsidTr="00BB2986">
        <w:trPr>
          <w:trHeight w:val="416"/>
        </w:trPr>
        <w:tc>
          <w:tcPr>
            <w:tcW w:w="4799" w:type="dxa"/>
          </w:tcPr>
          <w:p w:rsidR="00BB2986" w:rsidRDefault="00BB2986" w:rsidP="0099340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93401" w:rsidRDefault="00993401" w:rsidP="0099340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канал внутренней оси</w:t>
            </w:r>
          </w:p>
          <w:p w:rsidR="00BB2986" w:rsidRDefault="00BB2986" w:rsidP="00993401">
            <w:pPr>
              <w:jc w:val="center"/>
            </w:pPr>
          </w:p>
        </w:tc>
        <w:tc>
          <w:tcPr>
            <w:tcW w:w="4800" w:type="dxa"/>
          </w:tcPr>
          <w:p w:rsidR="00BB2986" w:rsidRDefault="00BB2986" w:rsidP="0099340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93401" w:rsidRDefault="00993401" w:rsidP="00BB298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канал наружной оси</w:t>
            </w:r>
          </w:p>
        </w:tc>
      </w:tr>
      <w:tr w:rsidR="00993401" w:rsidTr="00BB2986">
        <w:trPr>
          <w:trHeight w:val="1722"/>
        </w:trPr>
        <w:tc>
          <w:tcPr>
            <w:tcW w:w="4799" w:type="dxa"/>
          </w:tcPr>
          <w:p w:rsidR="00993401" w:rsidRDefault="00993401" w:rsidP="0099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4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934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9340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BB2986">
              <w:rPr>
                <w:rFonts w:ascii="Times New Roman" w:hAnsi="Times New Roman" w:cs="Times New Roman"/>
                <w:sz w:val="28"/>
                <w:szCs w:val="28"/>
              </w:rPr>
              <w:t>500нФ</w:t>
            </w:r>
          </w:p>
          <w:p w:rsidR="00BB2986" w:rsidRDefault="00BB2986" w:rsidP="0099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BB298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B2986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кОм</w:t>
            </w:r>
          </w:p>
          <w:p w:rsidR="00BB2986" w:rsidRDefault="00BB2986" w:rsidP="00993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B29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=256пФ</w:t>
            </w:r>
          </w:p>
          <w:p w:rsidR="00BB2986" w:rsidRPr="00BB2986" w:rsidRDefault="00BB2986" w:rsidP="00BB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BB2986">
              <w:rPr>
                <w:rFonts w:ascii="Times New Roman" w:hAnsi="Times New Roman" w:cs="Times New Roman"/>
                <w:sz w:val="16"/>
                <w:szCs w:val="16"/>
              </w:rPr>
              <w:t xml:space="preserve">1,2,3,4,5 </w:t>
            </w:r>
            <w:r w:rsidRPr="00BB2986">
              <w:rPr>
                <w:rFonts w:ascii="Times New Roman" w:hAnsi="Times New Roman" w:cs="Times New Roman"/>
                <w:sz w:val="28"/>
                <w:szCs w:val="28"/>
              </w:rPr>
              <w:t>=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56кОм</w:t>
            </w:r>
          </w:p>
        </w:tc>
        <w:tc>
          <w:tcPr>
            <w:tcW w:w="4800" w:type="dxa"/>
          </w:tcPr>
          <w:p w:rsidR="00BB2986" w:rsidRDefault="00BB2986" w:rsidP="0099340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34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934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9340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500нФ</w:t>
            </w:r>
          </w:p>
          <w:p w:rsidR="00BB2986" w:rsidRDefault="00BB2986" w:rsidP="00BB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BB29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BB2986" w:rsidRDefault="00BB2986" w:rsidP="00BB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B29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=725пФ</w:t>
            </w:r>
          </w:p>
          <w:p w:rsidR="00993401" w:rsidRPr="00BB2986" w:rsidRDefault="00BB2986" w:rsidP="00BB2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BB29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1,2,3,4,5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</w:p>
        </w:tc>
      </w:tr>
    </w:tbl>
    <w:p w:rsidR="00993401" w:rsidRPr="00993401" w:rsidRDefault="00993401"/>
    <w:sectPr w:rsidR="00993401" w:rsidRPr="00993401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32D" w:rsidRDefault="009A532D" w:rsidP="00993401">
      <w:pPr>
        <w:spacing w:after="0" w:line="240" w:lineRule="auto"/>
      </w:pPr>
      <w:r>
        <w:separator/>
      </w:r>
    </w:p>
  </w:endnote>
  <w:endnote w:type="continuationSeparator" w:id="1">
    <w:p w:rsidR="009A532D" w:rsidRDefault="009A532D" w:rsidP="0099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5434594"/>
      <w:docPartObj>
        <w:docPartGallery w:val="Page Numbers (Bottom of Page)"/>
        <w:docPartUnique/>
      </w:docPartObj>
    </w:sdtPr>
    <w:sdtContent>
      <w:p w:rsidR="00A45CA7" w:rsidRDefault="00A45CA7">
        <w:pPr>
          <w:pStyle w:val="a7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>--4</w:t>
        </w:r>
        <w:fldSimple w:instr=" PAGE    \* MERGEFORMAT ">
          <w:r w:rsidRPr="00A45CA7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  <w:r>
          <w:rPr>
            <w:rFonts w:asciiTheme="majorHAnsi" w:hAnsiTheme="majorHAnsi"/>
            <w:sz w:val="28"/>
            <w:szCs w:val="28"/>
          </w:rPr>
          <w:t>--</w:t>
        </w:r>
      </w:p>
    </w:sdtContent>
  </w:sdt>
  <w:p w:rsidR="00A45CA7" w:rsidRDefault="00A45C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32D" w:rsidRDefault="009A532D" w:rsidP="00993401">
      <w:pPr>
        <w:spacing w:after="0" w:line="240" w:lineRule="auto"/>
      </w:pPr>
      <w:r>
        <w:separator/>
      </w:r>
    </w:p>
  </w:footnote>
  <w:footnote w:type="continuationSeparator" w:id="1">
    <w:p w:rsidR="009A532D" w:rsidRDefault="009A532D" w:rsidP="00993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292E"/>
    <w:rsid w:val="0023292E"/>
    <w:rsid w:val="00993401"/>
    <w:rsid w:val="009A532D"/>
    <w:rsid w:val="00A45CA7"/>
    <w:rsid w:val="00BB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9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9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3401"/>
  </w:style>
  <w:style w:type="paragraph" w:styleId="a7">
    <w:name w:val="footer"/>
    <w:basedOn w:val="a"/>
    <w:link w:val="a8"/>
    <w:uiPriority w:val="99"/>
    <w:unhideWhenUsed/>
    <w:rsid w:val="00993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3401"/>
  </w:style>
  <w:style w:type="table" w:styleId="a9">
    <w:name w:val="Table Grid"/>
    <w:basedOn w:val="a1"/>
    <w:uiPriority w:val="59"/>
    <w:rsid w:val="00993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2009-06-18T07:35:00Z</cp:lastPrinted>
  <dcterms:created xsi:type="dcterms:W3CDTF">2009-06-18T07:35:00Z</dcterms:created>
  <dcterms:modified xsi:type="dcterms:W3CDTF">2009-06-18T07:35:00Z</dcterms:modified>
</cp:coreProperties>
</file>